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2C" w:rsidRDefault="00BA162C" w:rsidP="00BA162C"/>
    <w:p w:rsidR="00BA162C" w:rsidRDefault="00BA162C" w:rsidP="00BA162C">
      <w:pPr>
        <w:jc w:val="center"/>
      </w:pPr>
      <w:r>
        <w:t>Digital Integration Checklist</w:t>
      </w:r>
    </w:p>
    <w:p w:rsidR="00BA162C" w:rsidRPr="00BA162C" w:rsidRDefault="00BA162C" w:rsidP="00BA162C">
      <w:pPr>
        <w:rPr>
          <w:sz w:val="20"/>
          <w:szCs w:val="20"/>
        </w:rPr>
      </w:pPr>
      <w:r w:rsidRPr="00BA162C">
        <w:rPr>
          <w:sz w:val="20"/>
          <w:szCs w:val="20"/>
        </w:rPr>
        <w:t>Instructions: For each lesson, use this checklist to evaluate the effectiveness of the selected digital teaching and learning resources chosen for integration.  You may assess multiple tools with one checklist; however, you should only use one checklist per lesson.</w:t>
      </w:r>
    </w:p>
    <w:p w:rsidR="00BA162C" w:rsidRDefault="00BA162C">
      <w:r>
        <w:t>Lesson: _________________________________________________________________________</w:t>
      </w:r>
    </w:p>
    <w:p w:rsidR="00BA162C" w:rsidRDefault="00BA162C">
      <w:r>
        <w:t>Resource: __________________________________ Purpose: ____________________________</w:t>
      </w:r>
    </w:p>
    <w:p w:rsidR="00BA162C" w:rsidRDefault="00BA162C" w:rsidP="00BA162C">
      <w:r>
        <w:t>Resource: __________________________________ Purpose: ____________________________</w:t>
      </w:r>
    </w:p>
    <w:p w:rsidR="00BA162C" w:rsidRDefault="00BA162C" w:rsidP="00BA162C">
      <w:r>
        <w:t>Resource: __________________________________ Purpose: ____________________________</w:t>
      </w:r>
    </w:p>
    <w:p w:rsidR="00BA162C" w:rsidRPr="00BA162C" w:rsidRDefault="00BA162C">
      <w:pPr>
        <w:rPr>
          <w:sz w:val="20"/>
          <w:szCs w:val="20"/>
        </w:rPr>
      </w:pPr>
      <w:r w:rsidRPr="00BA162C">
        <w:rPr>
          <w:sz w:val="20"/>
          <w:szCs w:val="20"/>
        </w:rPr>
        <w:t>Note: You DO NOT have to assess more than one resource. Assess what you have planned for your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5760"/>
        <w:gridCol w:w="720"/>
        <w:gridCol w:w="715"/>
      </w:tblGrid>
      <w:tr w:rsidR="00AB1D09" w:rsidTr="00BA162C">
        <w:tc>
          <w:tcPr>
            <w:tcW w:w="445" w:type="dxa"/>
            <w:shd w:val="clear" w:color="auto" w:fill="D9D9D9" w:themeFill="background1" w:themeFillShade="D9"/>
            <w:vAlign w:val="center"/>
          </w:tcPr>
          <w:p w:rsidR="00AB1D09" w:rsidRDefault="00AB1D09"/>
          <w:p w:rsidR="00BA162C" w:rsidRDefault="00BA162C"/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B1D09" w:rsidRDefault="00AB1D09">
            <w:r>
              <w:t>Selection Criteria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AB1D09" w:rsidRDefault="00AB1D09">
            <w:r>
              <w:t>Description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B1D09" w:rsidRDefault="00AB1D09">
            <w:r>
              <w:t>Yes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AB1D09" w:rsidRDefault="00AB1D09">
            <w:r>
              <w:t>No</w:t>
            </w:r>
          </w:p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1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Usability of resource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 digital resource(s) is easy to learn and use within the context of instruction.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2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Accessibility of resource help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There are tutorial resources that are easily followed by both the student and teacher if needed.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3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Enhancement of content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 resource(s) does not replace instruction; it supports and promotes understanding of content.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4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Alignment to content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 resource will provide a mechanism to allow for content alignment throughout the entirety of instruction.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5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BA162C">
            <w:r>
              <w:t xml:space="preserve">Formative assessment 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Formative assessment, with immediate feedback, is provided by the resource(s).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6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Collaboration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 resource provided a way for students to collaborate in a face-to-face manner as well as online.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7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Reflection and evaluation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Students can use the tool, or information generated from the tool, to reflect upon their own understanding and evaluate next steps for iteration.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8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Learner customization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 resource(s) provides a way that the learner can customize his/her own learning pathway.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>
            <w:r>
              <w:t>9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Relevant and authentic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Information presented with or created by the resource(s) is relevant to the learner and is authentic to the current learning environment.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  <w:tr w:rsidR="00AB1D09" w:rsidTr="00AB1D09">
        <w:tc>
          <w:tcPr>
            <w:tcW w:w="445" w:type="dxa"/>
            <w:vAlign w:val="center"/>
          </w:tcPr>
          <w:p w:rsidR="00AB1D09" w:rsidRDefault="00AB1D09" w:rsidP="00AB1D09"/>
          <w:p w:rsidR="00AB1D09" w:rsidRDefault="00AB1D09" w:rsidP="00AB1D09">
            <w:r>
              <w:t>10</w:t>
            </w:r>
          </w:p>
        </w:tc>
        <w:tc>
          <w:tcPr>
            <w:tcW w:w="1710" w:type="dxa"/>
            <w:vAlign w:val="center"/>
          </w:tcPr>
          <w:p w:rsidR="00BA162C" w:rsidRDefault="00BA162C" w:rsidP="00AB1D09"/>
          <w:p w:rsidR="00AB1D09" w:rsidRDefault="00AB1D09" w:rsidP="00AB1D09">
            <w:r>
              <w:t>Out of class instruction</w:t>
            </w:r>
          </w:p>
        </w:tc>
        <w:tc>
          <w:tcPr>
            <w:tcW w:w="5760" w:type="dxa"/>
            <w:vAlign w:val="center"/>
          </w:tcPr>
          <w:p w:rsidR="00AB1D09" w:rsidRDefault="00AB1D09" w:rsidP="00AB1D09">
            <w:r>
              <w:t>The resource can be utilized, with integrity, outside of the classroom and school.</w:t>
            </w:r>
          </w:p>
        </w:tc>
        <w:tc>
          <w:tcPr>
            <w:tcW w:w="720" w:type="dxa"/>
            <w:vAlign w:val="center"/>
          </w:tcPr>
          <w:p w:rsidR="00AB1D09" w:rsidRDefault="00AB1D09" w:rsidP="00AB1D09"/>
        </w:tc>
        <w:tc>
          <w:tcPr>
            <w:tcW w:w="715" w:type="dxa"/>
            <w:vAlign w:val="center"/>
          </w:tcPr>
          <w:p w:rsidR="00AB1D09" w:rsidRDefault="00AB1D09" w:rsidP="00AB1D09"/>
        </w:tc>
      </w:tr>
    </w:tbl>
    <w:p w:rsidR="00A4652C" w:rsidRDefault="00A4652C" w:rsidP="00BA162C"/>
    <w:p w:rsidR="00BA162C" w:rsidRDefault="00BA162C" w:rsidP="00BA162C">
      <w:r>
        <w:t>Teacher Reflection:</w:t>
      </w:r>
    </w:p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>
      <w:r>
        <w:t>Selection Determination:</w:t>
      </w:r>
    </w:p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/>
    <w:p w:rsidR="00BA162C" w:rsidRDefault="00BA162C" w:rsidP="00BA162C">
      <w:r>
        <w:t>Note: Completion and retention of this checklist is not mandatory.  It is a provided resource aimed to help guide teachers through digital instruction integration.</w:t>
      </w:r>
      <w:bookmarkStart w:id="0" w:name="_GoBack"/>
      <w:bookmarkEnd w:id="0"/>
    </w:p>
    <w:p w:rsidR="00BA162C" w:rsidRDefault="00BA162C" w:rsidP="00BA162C"/>
    <w:sectPr w:rsidR="00BA16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BA" w:rsidRDefault="007607BA" w:rsidP="00BA162C">
      <w:pPr>
        <w:spacing w:after="0" w:line="240" w:lineRule="auto"/>
      </w:pPr>
      <w:r>
        <w:separator/>
      </w:r>
    </w:p>
  </w:endnote>
  <w:endnote w:type="continuationSeparator" w:id="0">
    <w:p w:rsidR="007607BA" w:rsidRDefault="007607BA" w:rsidP="00B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2C" w:rsidRDefault="00BA162C">
    <w:pPr>
      <w:pStyle w:val="Footer"/>
    </w:pPr>
    <w:r>
      <w:t>Scotland County Schools Instructional Technology</w:t>
    </w:r>
  </w:p>
  <w:p w:rsidR="00BA162C" w:rsidRDefault="00BA162C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BA" w:rsidRDefault="007607BA" w:rsidP="00BA162C">
      <w:pPr>
        <w:spacing w:after="0" w:line="240" w:lineRule="auto"/>
      </w:pPr>
      <w:r>
        <w:separator/>
      </w:r>
    </w:p>
  </w:footnote>
  <w:footnote w:type="continuationSeparator" w:id="0">
    <w:p w:rsidR="007607BA" w:rsidRDefault="007607BA" w:rsidP="00BA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2C" w:rsidRDefault="00BA162C" w:rsidP="00BA162C">
    <w:pPr>
      <w:pStyle w:val="Header"/>
      <w:jc w:val="center"/>
    </w:pPr>
    <w:r>
      <w:rPr>
        <w:noProof/>
      </w:rPr>
      <w:drawing>
        <wp:inline distT="0" distB="0" distL="0" distR="0" wp14:anchorId="2110034B" wp14:editId="7E5B09E4">
          <wp:extent cx="714375" cy="69727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21" cy="721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754"/>
    <w:multiLevelType w:val="multilevel"/>
    <w:tmpl w:val="B6B246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77C13"/>
    <w:multiLevelType w:val="multilevel"/>
    <w:tmpl w:val="7336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09"/>
    <w:rsid w:val="007607BA"/>
    <w:rsid w:val="00A4652C"/>
    <w:rsid w:val="00AB1D09"/>
    <w:rsid w:val="00B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26BAA"/>
  <w15:chartTrackingRefBased/>
  <w15:docId w15:val="{EC0C9B83-C51F-44C5-81FE-8FB91F92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D09"/>
    <w:rPr>
      <w:b/>
      <w:bCs/>
    </w:rPr>
  </w:style>
  <w:style w:type="table" w:styleId="TableGrid">
    <w:name w:val="Table Grid"/>
    <w:basedOn w:val="TableNormal"/>
    <w:uiPriority w:val="39"/>
    <w:rsid w:val="00AB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2C"/>
  </w:style>
  <w:style w:type="paragraph" w:styleId="Footer">
    <w:name w:val="footer"/>
    <w:basedOn w:val="Normal"/>
    <w:link w:val="FooterChar"/>
    <w:uiPriority w:val="99"/>
    <w:unhideWhenUsed/>
    <w:rsid w:val="00BA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Freeman</dc:creator>
  <cp:keywords/>
  <dc:description/>
  <cp:lastModifiedBy>Candice Freeman</cp:lastModifiedBy>
  <cp:revision>1</cp:revision>
  <dcterms:created xsi:type="dcterms:W3CDTF">2018-05-31T20:44:00Z</dcterms:created>
  <dcterms:modified xsi:type="dcterms:W3CDTF">2018-05-31T21:06:00Z</dcterms:modified>
</cp:coreProperties>
</file>